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13" w:type="dxa"/>
        <w:tblInd w:w="-1139" w:type="dxa"/>
        <w:tblLook w:val="04A0" w:firstRow="1" w:lastRow="0" w:firstColumn="1" w:lastColumn="0" w:noHBand="0" w:noVBand="1"/>
      </w:tblPr>
      <w:tblGrid>
        <w:gridCol w:w="1277"/>
        <w:gridCol w:w="1417"/>
        <w:gridCol w:w="749"/>
        <w:gridCol w:w="81"/>
        <w:gridCol w:w="1390"/>
        <w:gridCol w:w="1230"/>
        <w:gridCol w:w="1120"/>
        <w:gridCol w:w="269"/>
        <w:gridCol w:w="1497"/>
        <w:gridCol w:w="1083"/>
      </w:tblGrid>
      <w:tr w:rsidR="008A09C1" w:rsidRPr="00C70E16" w:rsidTr="00C70E16">
        <w:trPr>
          <w:trHeight w:val="529"/>
        </w:trPr>
        <w:tc>
          <w:tcPr>
            <w:tcW w:w="10113" w:type="dxa"/>
            <w:gridSpan w:val="10"/>
          </w:tcPr>
          <w:p w:rsidR="008A09C1" w:rsidRPr="00C70E16" w:rsidRDefault="008A09C1" w:rsidP="00C70E16">
            <w:pPr>
              <w:pStyle w:val="NoSpacing"/>
              <w:spacing w:after="120"/>
              <w:jc w:val="center"/>
              <w:rPr>
                <w:b/>
                <w:sz w:val="24"/>
                <w:szCs w:val="24"/>
              </w:rPr>
            </w:pPr>
            <w:r w:rsidRPr="00C70E16">
              <w:rPr>
                <w:b/>
                <w:sz w:val="24"/>
                <w:szCs w:val="24"/>
              </w:rPr>
              <w:t>TECHNICAL SPECIFIC</w:t>
            </w:r>
            <w:r w:rsidR="00A677D5" w:rsidRPr="00C70E16">
              <w:rPr>
                <w:b/>
                <w:sz w:val="24"/>
                <w:szCs w:val="24"/>
              </w:rPr>
              <w:t xml:space="preserve">ATION – FOUR WHEELERS AND ABOVE </w:t>
            </w:r>
            <w:r w:rsidRPr="00C70E16">
              <w:rPr>
                <w:b/>
                <w:sz w:val="24"/>
                <w:szCs w:val="24"/>
              </w:rPr>
              <w:t>PART C - ENGINE</w:t>
            </w:r>
          </w:p>
        </w:tc>
      </w:tr>
      <w:tr w:rsidR="008A09C1" w:rsidRPr="00C70E16" w:rsidTr="00C70E16">
        <w:tc>
          <w:tcPr>
            <w:tcW w:w="1277" w:type="dxa"/>
          </w:tcPr>
          <w:p w:rsidR="008A09C1" w:rsidRPr="00C70E16" w:rsidRDefault="008A09C1" w:rsidP="00C70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C70E16">
              <w:rPr>
                <w:b/>
                <w:sz w:val="24"/>
                <w:szCs w:val="24"/>
              </w:rPr>
              <w:t>Clause No.</w:t>
            </w:r>
          </w:p>
        </w:tc>
        <w:tc>
          <w:tcPr>
            <w:tcW w:w="5987" w:type="dxa"/>
            <w:gridSpan w:val="6"/>
          </w:tcPr>
          <w:p w:rsidR="008A09C1" w:rsidRPr="00C70E16" w:rsidRDefault="008A09C1" w:rsidP="00C70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C70E16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849" w:type="dxa"/>
            <w:gridSpan w:val="3"/>
          </w:tcPr>
          <w:p w:rsidR="008A09C1" w:rsidRPr="00C70E16" w:rsidRDefault="008A09C1" w:rsidP="00C70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8A09C1" w:rsidRPr="00C70E16" w:rsidTr="00C70E16">
        <w:tc>
          <w:tcPr>
            <w:tcW w:w="1277" w:type="dxa"/>
          </w:tcPr>
          <w:p w:rsidR="008A09C1" w:rsidRPr="00C70E16" w:rsidRDefault="008A09C1" w:rsidP="00C70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C70E16">
              <w:rPr>
                <w:b/>
                <w:sz w:val="24"/>
                <w:szCs w:val="24"/>
              </w:rPr>
              <w:t>C1.0</w:t>
            </w:r>
          </w:p>
        </w:tc>
        <w:tc>
          <w:tcPr>
            <w:tcW w:w="5987" w:type="dxa"/>
            <w:gridSpan w:val="6"/>
          </w:tcPr>
          <w:p w:rsidR="008A09C1" w:rsidRPr="00C70E16" w:rsidRDefault="008A09C1" w:rsidP="00C70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C70E16">
              <w:rPr>
                <w:b/>
                <w:sz w:val="24"/>
                <w:szCs w:val="24"/>
              </w:rPr>
              <w:t>Description of Engine:</w:t>
            </w:r>
          </w:p>
        </w:tc>
        <w:tc>
          <w:tcPr>
            <w:tcW w:w="2849" w:type="dxa"/>
            <w:gridSpan w:val="3"/>
          </w:tcPr>
          <w:p w:rsidR="008A09C1" w:rsidRPr="00C70E16" w:rsidRDefault="008A09C1" w:rsidP="00C70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8A09C1" w:rsidRPr="00C70E16" w:rsidTr="00C70E16">
        <w:tc>
          <w:tcPr>
            <w:tcW w:w="1277" w:type="dxa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C1.1</w:t>
            </w:r>
          </w:p>
        </w:tc>
        <w:tc>
          <w:tcPr>
            <w:tcW w:w="5987" w:type="dxa"/>
            <w:gridSpan w:val="6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 (Compression Ignition / Positive Ignition)</w:t>
            </w:r>
          </w:p>
        </w:tc>
        <w:tc>
          <w:tcPr>
            <w:tcW w:w="2849" w:type="dxa"/>
            <w:gridSpan w:val="3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8A09C1" w:rsidRPr="00C70E16" w:rsidTr="00C70E16">
        <w:tc>
          <w:tcPr>
            <w:tcW w:w="1277" w:type="dxa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C1.1.1</w:t>
            </w:r>
          </w:p>
        </w:tc>
        <w:tc>
          <w:tcPr>
            <w:tcW w:w="5987" w:type="dxa"/>
            <w:gridSpan w:val="6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Compliance sought for emission norms (BS-III /BS -IV /Any other)</w:t>
            </w:r>
          </w:p>
        </w:tc>
        <w:tc>
          <w:tcPr>
            <w:tcW w:w="2849" w:type="dxa"/>
            <w:gridSpan w:val="3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8A09C1" w:rsidRPr="00C70E16" w:rsidTr="00C70E16">
        <w:tc>
          <w:tcPr>
            <w:tcW w:w="1277" w:type="dxa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C1.2 </w:t>
            </w:r>
          </w:p>
        </w:tc>
        <w:tc>
          <w:tcPr>
            <w:tcW w:w="5987" w:type="dxa"/>
            <w:gridSpan w:val="6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Make </w:t>
            </w:r>
          </w:p>
        </w:tc>
        <w:tc>
          <w:tcPr>
            <w:tcW w:w="2849" w:type="dxa"/>
            <w:gridSpan w:val="3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8A09C1" w:rsidRPr="00C70E16" w:rsidTr="00C70E16">
        <w:tc>
          <w:tcPr>
            <w:tcW w:w="1277" w:type="dxa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C1.3 </w:t>
            </w:r>
          </w:p>
        </w:tc>
        <w:tc>
          <w:tcPr>
            <w:tcW w:w="5987" w:type="dxa"/>
            <w:gridSpan w:val="6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Name and address of the engine manufacturing plant </w:t>
            </w:r>
          </w:p>
        </w:tc>
        <w:tc>
          <w:tcPr>
            <w:tcW w:w="2849" w:type="dxa"/>
            <w:gridSpan w:val="3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8A09C1" w:rsidRPr="00C70E16" w:rsidTr="00C70E16">
        <w:tc>
          <w:tcPr>
            <w:tcW w:w="1277" w:type="dxa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C1.4 </w:t>
            </w:r>
          </w:p>
        </w:tc>
        <w:tc>
          <w:tcPr>
            <w:tcW w:w="5987" w:type="dxa"/>
            <w:gridSpan w:val="6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Working principle: (Four / two stroke), (DI / IDI ) (NA/TC/TCIC/ Any other )</w:t>
            </w:r>
          </w:p>
        </w:tc>
        <w:tc>
          <w:tcPr>
            <w:tcW w:w="2849" w:type="dxa"/>
            <w:gridSpan w:val="3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8A09C1" w:rsidRPr="00C70E16" w:rsidTr="00C70E16">
        <w:tc>
          <w:tcPr>
            <w:tcW w:w="1277" w:type="dxa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C1.5</w:t>
            </w:r>
          </w:p>
        </w:tc>
        <w:tc>
          <w:tcPr>
            <w:tcW w:w="5987" w:type="dxa"/>
            <w:gridSpan w:val="6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Model name and identification</w:t>
            </w:r>
          </w:p>
        </w:tc>
        <w:tc>
          <w:tcPr>
            <w:tcW w:w="2849" w:type="dxa"/>
            <w:gridSpan w:val="3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8A09C1" w:rsidRPr="00C70E16" w:rsidTr="00C70E16">
        <w:tc>
          <w:tcPr>
            <w:tcW w:w="1277" w:type="dxa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C1.6</w:t>
            </w:r>
          </w:p>
        </w:tc>
        <w:tc>
          <w:tcPr>
            <w:tcW w:w="5987" w:type="dxa"/>
            <w:gridSpan w:val="6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 of fuel used</w:t>
            </w:r>
          </w:p>
        </w:tc>
        <w:tc>
          <w:tcPr>
            <w:tcW w:w="2849" w:type="dxa"/>
            <w:gridSpan w:val="3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8A09C1" w:rsidRPr="00C70E16" w:rsidTr="00C70E16">
        <w:tc>
          <w:tcPr>
            <w:tcW w:w="1277" w:type="dxa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C1.7 </w:t>
            </w:r>
          </w:p>
        </w:tc>
        <w:tc>
          <w:tcPr>
            <w:tcW w:w="5987" w:type="dxa"/>
            <w:gridSpan w:val="6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No.&amp; Layout of cylinders &amp; firing order</w:t>
            </w:r>
          </w:p>
        </w:tc>
        <w:tc>
          <w:tcPr>
            <w:tcW w:w="2849" w:type="dxa"/>
            <w:gridSpan w:val="3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8A09C1" w:rsidRPr="00C70E16" w:rsidTr="00C70E16">
        <w:tc>
          <w:tcPr>
            <w:tcW w:w="1277" w:type="dxa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C1.8 </w:t>
            </w:r>
          </w:p>
        </w:tc>
        <w:tc>
          <w:tcPr>
            <w:tcW w:w="5987" w:type="dxa"/>
            <w:gridSpan w:val="6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Swept volume cc</w:t>
            </w:r>
          </w:p>
        </w:tc>
        <w:tc>
          <w:tcPr>
            <w:tcW w:w="2849" w:type="dxa"/>
            <w:gridSpan w:val="3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8A09C1" w:rsidRPr="00C70E16" w:rsidTr="00C70E16">
        <w:tc>
          <w:tcPr>
            <w:tcW w:w="1277" w:type="dxa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C1.9 </w:t>
            </w:r>
          </w:p>
        </w:tc>
        <w:tc>
          <w:tcPr>
            <w:tcW w:w="5987" w:type="dxa"/>
            <w:gridSpan w:val="6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Bore (mm)</w:t>
            </w:r>
          </w:p>
        </w:tc>
        <w:tc>
          <w:tcPr>
            <w:tcW w:w="2849" w:type="dxa"/>
            <w:gridSpan w:val="3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8A09C1" w:rsidRPr="00C70E16" w:rsidTr="00C70E16">
        <w:tc>
          <w:tcPr>
            <w:tcW w:w="1277" w:type="dxa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C1.10 </w:t>
            </w:r>
          </w:p>
        </w:tc>
        <w:tc>
          <w:tcPr>
            <w:tcW w:w="5987" w:type="dxa"/>
            <w:gridSpan w:val="6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Stroke (mm)</w:t>
            </w:r>
          </w:p>
        </w:tc>
        <w:tc>
          <w:tcPr>
            <w:tcW w:w="2849" w:type="dxa"/>
            <w:gridSpan w:val="3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8A09C1" w:rsidRPr="00C70E16" w:rsidTr="00C70E16">
        <w:tc>
          <w:tcPr>
            <w:tcW w:w="1277" w:type="dxa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C1.11</w:t>
            </w:r>
          </w:p>
        </w:tc>
        <w:tc>
          <w:tcPr>
            <w:tcW w:w="5987" w:type="dxa"/>
            <w:gridSpan w:val="6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Compression ratio (specify tolerance)</w:t>
            </w:r>
          </w:p>
        </w:tc>
        <w:tc>
          <w:tcPr>
            <w:tcW w:w="2849" w:type="dxa"/>
            <w:gridSpan w:val="3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8A09C1" w:rsidRPr="00C70E16" w:rsidTr="00C70E16">
        <w:tc>
          <w:tcPr>
            <w:tcW w:w="1277" w:type="dxa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C1.12</w:t>
            </w:r>
          </w:p>
        </w:tc>
        <w:tc>
          <w:tcPr>
            <w:tcW w:w="5987" w:type="dxa"/>
            <w:gridSpan w:val="6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Engine performance (declared by the manufacturer):</w:t>
            </w:r>
          </w:p>
        </w:tc>
        <w:tc>
          <w:tcPr>
            <w:tcW w:w="2849" w:type="dxa"/>
            <w:gridSpan w:val="3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8A09C1" w:rsidRPr="00C70E16" w:rsidTr="00C70E16">
        <w:tc>
          <w:tcPr>
            <w:tcW w:w="1277" w:type="dxa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C1.12.1</w:t>
            </w:r>
          </w:p>
        </w:tc>
        <w:tc>
          <w:tcPr>
            <w:tcW w:w="5987" w:type="dxa"/>
            <w:gridSpan w:val="6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Max. Net power of engine on bench (kW @ rpm)(Specify standard and tolerance)</w:t>
            </w:r>
          </w:p>
        </w:tc>
        <w:tc>
          <w:tcPr>
            <w:tcW w:w="2849" w:type="dxa"/>
            <w:gridSpan w:val="3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8A09C1" w:rsidRPr="00C70E16" w:rsidTr="00C70E16">
        <w:tc>
          <w:tcPr>
            <w:tcW w:w="1277" w:type="dxa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C1.12.2</w:t>
            </w:r>
          </w:p>
        </w:tc>
        <w:tc>
          <w:tcPr>
            <w:tcW w:w="5987" w:type="dxa"/>
            <w:gridSpan w:val="6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Maximum net torque on bench (Nm @ rpm) </w:t>
            </w:r>
          </w:p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b/>
                <w:sz w:val="24"/>
                <w:szCs w:val="24"/>
              </w:rPr>
              <w:t>Note</w:t>
            </w:r>
            <w:r w:rsidRPr="00C70E16">
              <w:rPr>
                <w:sz w:val="24"/>
                <w:szCs w:val="24"/>
              </w:rPr>
              <w:t xml:space="preserve"> : In case of diesel engines the max. Power and max. Torque shall be specified as per conditions given in Chapter 6 of Part IV of Doc. MoRTH / CMVR / TAP-115 / 116 Issue No.3</w:t>
            </w:r>
          </w:p>
        </w:tc>
        <w:tc>
          <w:tcPr>
            <w:tcW w:w="2849" w:type="dxa"/>
            <w:gridSpan w:val="3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8A09C1" w:rsidRPr="00C70E16" w:rsidTr="00C70E16">
        <w:tc>
          <w:tcPr>
            <w:tcW w:w="1277" w:type="dxa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C1.13</w:t>
            </w:r>
          </w:p>
        </w:tc>
        <w:tc>
          <w:tcPr>
            <w:tcW w:w="5987" w:type="dxa"/>
            <w:gridSpan w:val="6"/>
            <w:vAlign w:val="bottom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Location of engine (Front / Rear)</w:t>
            </w:r>
          </w:p>
        </w:tc>
        <w:tc>
          <w:tcPr>
            <w:tcW w:w="2849" w:type="dxa"/>
            <w:gridSpan w:val="3"/>
          </w:tcPr>
          <w:p w:rsidR="008A09C1" w:rsidRPr="00C70E16" w:rsidRDefault="008A09C1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C1.13.1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Engine Oil grade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C2.0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Combustion System: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C2.1 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 of combustion chamber (Hemispherical/ squish/others)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lastRenderedPageBreak/>
              <w:t xml:space="preserve">C2.2 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Drawing(s) of combustion chamber and piston crown (Enclose the drawing &amp; Mention the drawing no. &amp; Part no.)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C2.3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Minimum cross section area of ports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C2.3.1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Inlet (cm2)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C2.3.2 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Outlet (cm2)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C3.0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Ignition System (Spark Ignition engines only):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C3.1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C3.2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Nominal Voltage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C3.3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Operating Principle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C3.4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CDI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C3.5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Table of Combination for EMI test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C3.6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Ignition advance curve (specify tolerance) &amp; enclose the curve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C3.7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Ignition timing (specify tolerance)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C3.8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Contact point gap and dwell angle (specify tolerance)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C3.9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 and make of distributor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C3.10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Sparking plugs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C3.10.1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Make 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C3.10.2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 and designation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C3.10.3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Spark-gap setting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C3.10.4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Nominal resistance (kilo ohm) (if resistive type)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C3.11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Ignition coil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C3.11.1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Make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C3.11.2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C3.11.3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Identification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C3.12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Ignition condenser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C3.12.1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Make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C3.12.2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C3.12.3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Identification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lastRenderedPageBreak/>
              <w:t xml:space="preserve">C3.13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EMI suppressor cap / Device / Electronic unit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C3.13.1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Make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C3.13.2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 (Resistive/Capacitive)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C3.13.3 </w:t>
            </w:r>
          </w:p>
        </w:tc>
        <w:tc>
          <w:tcPr>
            <w:tcW w:w="5987" w:type="dxa"/>
            <w:gridSpan w:val="6"/>
          </w:tcPr>
          <w:p w:rsidR="00634FE7" w:rsidRPr="00C70E16" w:rsidRDefault="00C70E16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634FE7" w:rsidRPr="00C70E16">
              <w:rPr>
                <w:sz w:val="24"/>
                <w:szCs w:val="24"/>
              </w:rPr>
              <w:t>dentification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C3.13.4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Nominal resistance (kilo ohm)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C3.13.5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Terminology and Drawing of interference Suppression equipment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 xml:space="preserve">C3.14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H.T. Cable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C3.14.1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Make and Place 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C3.14.2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 (Resistive/Non-resistive)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C3.14.3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Length mm (if resistive type)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C3.14.4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Outside dia. mm (if resistive type)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C3.14.5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Nominal resistance kilo ohm, (if resistive type)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 xml:space="preserve">C4.0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Cooling system :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C4.1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Liquid cooling system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C4.1.1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Nature of liquid 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C4.1.2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Circulating pump yes/no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C4.1.3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Characteristics of Circulating pump or make(s) &amp; type(s)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C4.1.3.1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Drive ratio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C4.1.4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Nominal temperature setting of the engine temperature control mechanism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C4.1.5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Radiator drawing(s)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C4.1.5.1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Make(s) 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C4.1.5.2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Type(s)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C4.1.5.3 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Relief valve pressure setting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 xml:space="preserve">C4.1.6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Fan characteristics (Fan power, kW) Enclose the fan power curve corresponding to full load (v/s engine speed) of viscous fan.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C4.1.6.1 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Make(s) 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C4.1.6.1.1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No. of blades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C4.1.6.1.2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Material of blades ( metal / plastic 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lastRenderedPageBreak/>
              <w:t xml:space="preserve">C4.1.6.2 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Type(s) [Fixed / Viscous / Electrical driven]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C4.1.6.3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Drive ratio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C4.1.6.4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Fan diameter (mm)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C4.1.6.5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Max. Speed of fan (in rev/min)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C4.1.7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Radiator core open area (cm²)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C4.2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Air Cooling system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C4.2.1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Blower characteristics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C4.2.1.1 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Make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C4.2.1.2 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Type(s)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C4.2.1.3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Drive ratio(s)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C4.2.2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Air ducting (</w:t>
            </w:r>
            <w:proofErr w:type="spellStart"/>
            <w:r w:rsidRPr="00C70E16">
              <w:rPr>
                <w:sz w:val="24"/>
                <w:szCs w:val="24"/>
              </w:rPr>
              <w:t>std</w:t>
            </w:r>
            <w:proofErr w:type="spellEnd"/>
            <w:r w:rsidRPr="00C70E16">
              <w:rPr>
                <w:sz w:val="24"/>
                <w:szCs w:val="24"/>
              </w:rPr>
              <w:t xml:space="preserve"> production)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C5.0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 xml:space="preserve">Temperature permitted by manufacturer in </w:t>
            </w:r>
            <w:r w:rsidRPr="00C70E16">
              <w:rPr>
                <w:b/>
                <w:bCs/>
                <w:sz w:val="24"/>
                <w:szCs w:val="24"/>
                <w:vertAlign w:val="superscript"/>
              </w:rPr>
              <w:t>0</w:t>
            </w:r>
            <w:r w:rsidRPr="00C70E16">
              <w:rPr>
                <w:b/>
                <w:bCs/>
                <w:sz w:val="24"/>
                <w:szCs w:val="24"/>
              </w:rPr>
              <w:t>C for liquid cooling (Location of measurement be specified)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C5.1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Max. temp. at engine outlet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 xml:space="preserve">C6.0 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 xml:space="preserve">Temperature permitted by manufacturer in </w:t>
            </w:r>
            <w:r w:rsidRPr="00C70E16">
              <w:rPr>
                <w:b/>
                <w:bCs/>
                <w:sz w:val="24"/>
                <w:szCs w:val="24"/>
                <w:vertAlign w:val="superscript"/>
              </w:rPr>
              <w:t>0</w:t>
            </w:r>
            <w:r w:rsidRPr="00C70E16">
              <w:rPr>
                <w:b/>
                <w:bCs/>
                <w:sz w:val="24"/>
                <w:szCs w:val="24"/>
              </w:rPr>
              <w:t>C for Air cooling (Location of measurement be specified 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C6.1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Reference point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C6.2 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Max. temperature at reference point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C6.3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Max. Temperature of the intercooled-air</w:t>
            </w:r>
            <w:r w:rsidRPr="00C70E16">
              <w:rPr>
                <w:sz w:val="24"/>
                <w:szCs w:val="24"/>
              </w:rPr>
              <w:br/>
              <w:t>(Location of measurement be specified)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C6.4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Max. Exhaust temperature </w:t>
            </w:r>
          </w:p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(in case of diesel engines, at the point in the exhaust pipe(s) adjacent in outlet flange(s) of exhaust manifolds), Specify the distance from the outlet flange.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C7.0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 xml:space="preserve">Fuel temperature </w:t>
            </w:r>
            <w:r w:rsidRPr="00C70E16">
              <w:rPr>
                <w:b/>
                <w:bCs/>
                <w:sz w:val="24"/>
                <w:szCs w:val="24"/>
                <w:vertAlign w:val="superscript"/>
              </w:rPr>
              <w:t>0</w:t>
            </w:r>
            <w:r w:rsidRPr="00C70E16">
              <w:rPr>
                <w:b/>
                <w:bCs/>
                <w:sz w:val="24"/>
                <w:szCs w:val="24"/>
              </w:rPr>
              <w:t>C: (for diesel engines at the injection pump inlet)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C7.1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Minimum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C7.2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Maximum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 xml:space="preserve">C8.0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 xml:space="preserve">Lubricant Temperature </w:t>
            </w:r>
            <w:r w:rsidRPr="00C70E16">
              <w:rPr>
                <w:b/>
                <w:bCs/>
                <w:sz w:val="24"/>
                <w:szCs w:val="24"/>
                <w:vertAlign w:val="superscript"/>
              </w:rPr>
              <w:t>0</w:t>
            </w:r>
            <w:r w:rsidRPr="00C70E16">
              <w:rPr>
                <w:b/>
                <w:bCs/>
                <w:sz w:val="24"/>
                <w:szCs w:val="24"/>
              </w:rPr>
              <w:t>C (Location of measurement be specified 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C8.1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Minimum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C8.2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Maximum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C70E16">
              <w:rPr>
                <w:b/>
                <w:sz w:val="24"/>
                <w:szCs w:val="24"/>
              </w:rPr>
              <w:lastRenderedPageBreak/>
              <w:t>C9.0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C70E16">
              <w:rPr>
                <w:b/>
                <w:sz w:val="24"/>
                <w:szCs w:val="24"/>
              </w:rPr>
              <w:t>Intake system : (Attach drawing, mention Drawing No. &amp; Part No.)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C9.1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Supercharger / Turbocharger - yes/no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C9.1.1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Description of system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C9.1.2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Make(s) 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C9.1.3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Type(s)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C9.1.4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Description of system (e.g. Charge pressure @ max. power and torque</w:t>
            </w:r>
            <w:r w:rsidRPr="00C70E16">
              <w:rPr>
                <w:sz w:val="24"/>
                <w:szCs w:val="24"/>
              </w:rPr>
              <w:br/>
              <w:t>speed, waste gate, if applicable)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 xml:space="preserve">C9.2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Intake manifold (Enclose drawing with drawing No. &amp; Part No.)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C9.2.1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Description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C9.2.2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Identification No / Part No./ Drawing No.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C9.2.3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Schematic dimensional drawing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 xml:space="preserve">C9.3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Air filter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C9.3.1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Make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C9.3.2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C9.3.3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Identification No / Part No./ Drawing No.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C9.3.4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Schematic dimensional drawing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C9.4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Intake silencer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C9.4.1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Make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C9.4.2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 / Description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C9.4.3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Identification No / Part No./ Drawing No.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C9.4.4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Schematic dimensional drawing of inlet pipe and their accessories (dash pot, heating devices, additional air intake etc.)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C9.5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Inter cooler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C9.5.1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Make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C9.5.2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Identification No / Part No./ Drawing No.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C9.5.3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Air pressure drop across the inter-cooler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 xml:space="preserve">C10.0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Fuel feed: (By carburetor)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lastRenderedPageBreak/>
              <w:t>C10.1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Number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C10.2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Make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C10.3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C10.4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Adjustments (specify tolerance)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C10.4.1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Jets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C10.4.2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Ventures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C10.4.3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noProof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0288" behindDoc="0" locked="0" layoutInCell="1" allowOverlap="1" wp14:anchorId="746C23F9" wp14:editId="73ACF214">
                  <wp:simplePos x="0" y="0"/>
                  <wp:positionH relativeFrom="column">
                    <wp:posOffset>2504440</wp:posOffset>
                  </wp:positionH>
                  <wp:positionV relativeFrom="paragraph">
                    <wp:posOffset>-416560</wp:posOffset>
                  </wp:positionV>
                  <wp:extent cx="2373630" cy="64770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63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0E16">
              <w:rPr>
                <w:sz w:val="24"/>
                <w:szCs w:val="24"/>
              </w:rPr>
              <w:t>Float-chamber level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C10.4.4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Mass of float  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C10.4.5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Float needle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C10.5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Dimensions of mixture duct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C10.6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Choke: Type (Manual/automatic) and closure setting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C10.7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Feed pump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C10.7.1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Pressure (specify tolerance) or characteristic diagrams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C10.7.2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 of fuel feed pump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C11.0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Fuel feed: {By fuel injection}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C11.1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Injection system description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C11.2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Working principle: intake manifold/ direct injection / indirect injection / swirl chamber/others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C11.3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Fuel Pump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C11.3.1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Make(s) 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C11.3.2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Type(s)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C11.3.3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Pressure / characteristic diagram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C11.4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Delivery mm</w:t>
            </w:r>
            <w:r w:rsidRPr="00C70E16">
              <w:rPr>
                <w:sz w:val="24"/>
                <w:szCs w:val="24"/>
                <w:vertAlign w:val="superscript"/>
              </w:rPr>
              <w:t>3</w:t>
            </w:r>
            <w:r w:rsidRPr="00C70E16">
              <w:rPr>
                <w:sz w:val="24"/>
                <w:szCs w:val="24"/>
              </w:rPr>
              <w:t>/ per stroke at max net power speed in case of Diesel Engine</w:t>
            </w:r>
            <w:r w:rsidRPr="00C70E16">
              <w:rPr>
                <w:sz w:val="24"/>
                <w:szCs w:val="24"/>
              </w:rPr>
              <w:br w:type="page"/>
              <w:t>&amp; specify delivery in kg/h at max net power speed in case of gas engines</w:t>
            </w:r>
            <w:r w:rsidRPr="00C70E16">
              <w:rPr>
                <w:sz w:val="24"/>
                <w:szCs w:val="24"/>
              </w:rPr>
              <w:br w:type="page"/>
              <w:t>(specify tolerance) and enclose characteristic diagram (specify tolerance).</w:t>
            </w:r>
            <w:r w:rsidRPr="00C70E16">
              <w:rPr>
                <w:sz w:val="24"/>
                <w:szCs w:val="24"/>
              </w:rPr>
              <w:br w:type="page"/>
              <w:t>If boost control is supplied, state the characteristics fuel delivery and</w:t>
            </w:r>
            <w:r w:rsidRPr="00C70E16">
              <w:rPr>
                <w:sz w:val="24"/>
                <w:szCs w:val="24"/>
              </w:rPr>
              <w:br w:type="page"/>
              <w:t>boost pressure versus engine speed.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C11.5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Calibration Method (on engine/pump bench)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C11.6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Static Injection timing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C11.7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Injection advance curve (Diagram be enclosed)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lastRenderedPageBreak/>
              <w:t>C11.8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Injection advance (specify the tolerance)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C11.9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Injector (s)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 xml:space="preserve">C11.9.4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Injection piping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C11.9.4.1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Length mm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C11.9.4.2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Internal diameter mm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C 12.0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Device for recycling crank-case gases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C12.1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Description &amp; drawings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 xml:space="preserve">C13.0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Governor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C13.1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Type(s)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C13.2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Speed at which Cut off starts under load (rev/min)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C13.3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Max. speed without load (rev/min)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C13.4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Idle Speed (rev/min)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C14.0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Cold start device (starting aid)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C14.1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Make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C14.2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Type(s)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C14.3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System description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C15.0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Starting System :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C15.1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Type(s)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C15.2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System description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C16.0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Valve timing / Port timing or equivalent data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C16.1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Max. lift of valves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C16.1.1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Inlet mm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C16.1.2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Exhaust mm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C16.2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Angle of valves / port (w.r.t. top dead center)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C16.3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Inlet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C16.3.1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Opening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C16.3.2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Closing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C16.4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Exhaust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C16.4.1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Opening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lastRenderedPageBreak/>
              <w:t xml:space="preserve">C16.4.2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Closing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C16.5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Transfer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C16.5.1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Opening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C16.5.2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Closing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C16.6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Reference or setting ranges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C16.7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Valve gap (Hot or Cold as applicable)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C16.7.1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Inlet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C16.7.2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Exhaust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 xml:space="preserve">C16.8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Distribution by ports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C16.8.1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Volume of crank-case cavity with piston at TDC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C16.8.2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Reed valve fitted ( Yes / No 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C16.8.3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Description of inlet ports, scavenging and exhaust ports with corresponding timing.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 xml:space="preserve">C17.0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Lubrication system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C17.1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Description of system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C17.2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Position of lubricant reservoir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C17.3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Feed system (pump, injection in to intake mixing with fuel etc.,)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C17.4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Lubricating pump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C17.4.1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C17.5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Mixture with fuel: yes/no, and if yes %   ( for 2 stroke engines 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C17.6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Oil cooler : yes/no, and if yes Enclose dimensional drawings, make(s) &amp; type(s)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C18.0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Electrical equipment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C18.1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Generator/alternator characteristics (specify tolerance) or 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C18.1.1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Make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C18.1.2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Identification No / Part No./ Drawing No.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C19.0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Other engine driven auxiliaries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C19.1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Enumeration &amp; brief description, if necessary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C20.0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Idling System: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lastRenderedPageBreak/>
              <w:t>C20.1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Idling speed (rpm) (specify the tolerance)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C20.2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Description of settings and relevant requirements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C20.3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Carbon monoxide and HC content by volume in the exhaust gas with the engine idling, per cent (for SI engines only) (manufacturer’s standard)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C20.4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High Idle (2500 ± 200 rpm) Lambda value(For petrol driven four wheeled vehicles only) (1± 0.03 or as specified by the vehicle manufacturer)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 xml:space="preserve">C 21.0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Requirements for engine test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C21.1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Maximum permitted depression of air intake at characteristic place in </w:t>
            </w:r>
            <w:proofErr w:type="spellStart"/>
            <w:r w:rsidRPr="00C70E16">
              <w:rPr>
                <w:sz w:val="24"/>
                <w:szCs w:val="24"/>
              </w:rPr>
              <w:t>kPa</w:t>
            </w:r>
            <w:proofErr w:type="spellEnd"/>
            <w:r w:rsidRPr="00C70E16">
              <w:rPr>
                <w:sz w:val="24"/>
                <w:szCs w:val="24"/>
              </w:rPr>
              <w:t xml:space="preserve"> (Specify location of measurement))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C21.2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Exhaust back pressure at maximum net power and location of  measurement (</w:t>
            </w:r>
            <w:proofErr w:type="spellStart"/>
            <w:r w:rsidRPr="00C70E16">
              <w:rPr>
                <w:sz w:val="24"/>
                <w:szCs w:val="24"/>
              </w:rPr>
              <w:t>kPa</w:t>
            </w:r>
            <w:proofErr w:type="spellEnd"/>
            <w:r w:rsidRPr="00C70E16">
              <w:rPr>
                <w:sz w:val="24"/>
                <w:szCs w:val="24"/>
              </w:rPr>
              <w:t>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C21.3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Effective volume of exhaust-system (specify the tolerance &amp; range) liters (from exhaust manifold / TC outlet to tail pipe end), Enclose the exhaust system dimensional drawing and indicate the volume of each parts clearly.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C21.4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Moment of inertia of combined flywheel &amp; transmission at condition when no gear is engaged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C21.5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Maximum rated speed (Specify the tolerance)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C21.6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Minimum rated speed (Specify the tolerance)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C21.7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Max. Net Torque on bench ……. Nm at ……..rpm ( specify tolerance 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C21.8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Max. net Power on bench, ……. Nm at ……..rpm ( specify tolerance 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C21.9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Engine Performance Declared speed and powers of the engine submitted for type approval) (Speeds to be agreed with the testing agency)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C21.9.1 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Engine Speeds (For ESC &amp; ELR cycles)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C21.9.2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Low Speed (</w:t>
            </w:r>
            <w:proofErr w:type="spellStart"/>
            <w:r w:rsidRPr="00C70E16">
              <w:rPr>
                <w:sz w:val="24"/>
                <w:szCs w:val="24"/>
              </w:rPr>
              <w:t>nlo</w:t>
            </w:r>
            <w:proofErr w:type="spellEnd"/>
            <w:r w:rsidRPr="00C70E16">
              <w:rPr>
                <w:sz w:val="24"/>
                <w:szCs w:val="24"/>
              </w:rPr>
              <w:t>) (rpm)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C21.9.3 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High Speed (</w:t>
            </w:r>
            <w:proofErr w:type="spellStart"/>
            <w:r w:rsidRPr="00C70E16">
              <w:rPr>
                <w:sz w:val="24"/>
                <w:szCs w:val="24"/>
              </w:rPr>
              <w:t>nhi</w:t>
            </w:r>
            <w:proofErr w:type="spellEnd"/>
            <w:r w:rsidRPr="00C70E16">
              <w:rPr>
                <w:sz w:val="24"/>
                <w:szCs w:val="24"/>
              </w:rPr>
              <w:t>) (rpm)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C21.9.4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Speed A (rpm)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C21.9.5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Speed B (rpm)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lastRenderedPageBreak/>
              <w:t xml:space="preserve">C21.9.6 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Speed C (rpm)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rPr>
          <w:trHeight w:val="426"/>
        </w:trPr>
        <w:tc>
          <w:tcPr>
            <w:tcW w:w="1277" w:type="dxa"/>
            <w:vMerge w:val="restart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 xml:space="preserve">C21.9.7 </w:t>
            </w:r>
          </w:p>
        </w:tc>
        <w:tc>
          <w:tcPr>
            <w:tcW w:w="8836" w:type="dxa"/>
            <w:gridSpan w:val="9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Engine Power Table</w:t>
            </w:r>
          </w:p>
        </w:tc>
      </w:tr>
      <w:tr w:rsidR="00634FE7" w:rsidRPr="00C70E16" w:rsidTr="00C70E16">
        <w:trPr>
          <w:trHeight w:val="404"/>
        </w:trPr>
        <w:tc>
          <w:tcPr>
            <w:tcW w:w="1277" w:type="dxa"/>
            <w:vMerge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b/>
                <w:sz w:val="24"/>
                <w:szCs w:val="24"/>
              </w:rPr>
              <w:t>Measurement point*</w:t>
            </w:r>
          </w:p>
        </w:tc>
        <w:tc>
          <w:tcPr>
            <w:tcW w:w="2701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C70E16">
              <w:rPr>
                <w:b/>
                <w:sz w:val="24"/>
                <w:szCs w:val="24"/>
              </w:rPr>
              <w:t>Engine speed Rpm</w:t>
            </w:r>
          </w:p>
        </w:tc>
        <w:tc>
          <w:tcPr>
            <w:tcW w:w="3969" w:type="dxa"/>
            <w:gridSpan w:val="4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C70E16">
              <w:rPr>
                <w:b/>
                <w:sz w:val="24"/>
                <w:szCs w:val="24"/>
              </w:rPr>
              <w:t>New Power kW**</w:t>
            </w:r>
          </w:p>
        </w:tc>
      </w:tr>
      <w:tr w:rsidR="00634FE7" w:rsidRPr="00C70E16" w:rsidTr="00C70E16">
        <w:trPr>
          <w:trHeight w:val="423"/>
        </w:trPr>
        <w:tc>
          <w:tcPr>
            <w:tcW w:w="1277" w:type="dxa"/>
            <w:vMerge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(1)</w:t>
            </w:r>
          </w:p>
        </w:tc>
        <w:tc>
          <w:tcPr>
            <w:tcW w:w="2701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rPr>
          <w:trHeight w:val="414"/>
        </w:trPr>
        <w:tc>
          <w:tcPr>
            <w:tcW w:w="1277" w:type="dxa"/>
            <w:vMerge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(2)</w:t>
            </w:r>
          </w:p>
        </w:tc>
        <w:tc>
          <w:tcPr>
            <w:tcW w:w="2701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rPr>
          <w:trHeight w:val="421"/>
        </w:trPr>
        <w:tc>
          <w:tcPr>
            <w:tcW w:w="1277" w:type="dxa"/>
            <w:vMerge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(3)</w:t>
            </w:r>
          </w:p>
        </w:tc>
        <w:tc>
          <w:tcPr>
            <w:tcW w:w="2701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rPr>
          <w:trHeight w:val="413"/>
        </w:trPr>
        <w:tc>
          <w:tcPr>
            <w:tcW w:w="1277" w:type="dxa"/>
            <w:vMerge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(4)</w:t>
            </w:r>
          </w:p>
        </w:tc>
        <w:tc>
          <w:tcPr>
            <w:tcW w:w="2701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rPr>
          <w:trHeight w:val="419"/>
        </w:trPr>
        <w:tc>
          <w:tcPr>
            <w:tcW w:w="1277" w:type="dxa"/>
            <w:vMerge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(5)</w:t>
            </w:r>
          </w:p>
        </w:tc>
        <w:tc>
          <w:tcPr>
            <w:tcW w:w="2701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rPr>
          <w:trHeight w:val="410"/>
        </w:trPr>
        <w:tc>
          <w:tcPr>
            <w:tcW w:w="1277" w:type="dxa"/>
            <w:vMerge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(6)</w:t>
            </w:r>
          </w:p>
        </w:tc>
        <w:tc>
          <w:tcPr>
            <w:tcW w:w="2701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rPr>
          <w:trHeight w:val="417"/>
        </w:trPr>
        <w:tc>
          <w:tcPr>
            <w:tcW w:w="1277" w:type="dxa"/>
            <w:vMerge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rPr>
          <w:trHeight w:val="423"/>
        </w:trPr>
        <w:tc>
          <w:tcPr>
            <w:tcW w:w="1277" w:type="dxa"/>
            <w:vMerge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rPr>
          <w:trHeight w:val="1222"/>
        </w:trPr>
        <w:tc>
          <w:tcPr>
            <w:tcW w:w="1277" w:type="dxa"/>
            <w:vMerge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8836" w:type="dxa"/>
            <w:gridSpan w:val="9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 xml:space="preserve">  * See Chapter 3 of Part IV of </w:t>
            </w:r>
            <w:proofErr w:type="spellStart"/>
            <w:r w:rsidRPr="00C70E16">
              <w:rPr>
                <w:bCs/>
                <w:sz w:val="24"/>
                <w:szCs w:val="24"/>
              </w:rPr>
              <w:t>Doc.MoRTH</w:t>
            </w:r>
            <w:proofErr w:type="spellEnd"/>
            <w:r w:rsidRPr="00C70E16">
              <w:rPr>
                <w:bCs/>
                <w:sz w:val="24"/>
                <w:szCs w:val="24"/>
              </w:rPr>
              <w:t>/CMVR/TAP115/116 Issue No.4</w:t>
            </w:r>
          </w:p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 xml:space="preserve">** Net power according to Chapter 6 of Part IV of </w:t>
            </w:r>
            <w:proofErr w:type="spellStart"/>
            <w:r w:rsidRPr="00C70E16">
              <w:rPr>
                <w:bCs/>
                <w:sz w:val="24"/>
                <w:szCs w:val="24"/>
              </w:rPr>
              <w:t>Doc.MoRTH</w:t>
            </w:r>
            <w:proofErr w:type="spellEnd"/>
            <w:r w:rsidRPr="00C70E16">
              <w:rPr>
                <w:bCs/>
                <w:sz w:val="24"/>
                <w:szCs w:val="24"/>
              </w:rPr>
              <w:t>/CMVR/TAP115/116 Issue No.4.</w:t>
            </w:r>
          </w:p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Note</w:t>
            </w:r>
            <w:r w:rsidRPr="00C70E16">
              <w:rPr>
                <w:bCs/>
                <w:sz w:val="24"/>
                <w:szCs w:val="24"/>
              </w:rPr>
              <w:t>: In case, if data regarding the Moment of Inertia, is required by the test agency for carrying out the Full Throttle performance test for both the CI / SI engines, the same shall be provided by the manufacturer.</w:t>
            </w: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 xml:space="preserve">C22.0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Exhaust system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 xml:space="preserve">C22.1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Silencer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C22.1.1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C22.1.2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Make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C22.1.3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Number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C22.1.4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Silencer identification No. / Part No. 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C22.2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Internal diameter of exhaust pipe (mm)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C22.3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Description with general arrangement of exhaust system along with its routing indicating the lengths of exhaust pipe, tail pipe and exhaust outlet location, indicated in a Schematic dimensional drawing.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C22.4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Minimum distance between exhaust pipe(s) and the fuel line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lastRenderedPageBreak/>
              <w:t>C22.5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Auxiliary Noise shields for compliance to IS 3028 and / OR AIS-020 (If Provided)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C22.5.1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Material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C22.5.2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Layout of noise shield / Photographs / Diagram Showing arrangements indicating fitment on vehicle.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C23.0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Additional emission control devices, such as catalytic converter etc.(if any &amp; if not covered by another heading)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C23.1</w:t>
            </w:r>
          </w:p>
        </w:tc>
        <w:tc>
          <w:tcPr>
            <w:tcW w:w="5987" w:type="dxa"/>
            <w:gridSpan w:val="6"/>
          </w:tcPr>
          <w:p w:rsidR="00634FE7" w:rsidRPr="00C70E16" w:rsidRDefault="00C70E16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Catalyzer</w:t>
            </w:r>
            <w:r w:rsidR="00634FE7" w:rsidRPr="00C70E16">
              <w:rPr>
                <w:sz w:val="24"/>
                <w:szCs w:val="24"/>
              </w:rPr>
              <w:t xml:space="preserve"> make, number 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C23.2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Identification No / Part No./ Drawing No.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C23.3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 of catalytic action (One/two/three way)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C23.4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Total charge of precious metal (g/vehicle)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C23.5</w:t>
            </w:r>
          </w:p>
        </w:tc>
        <w:tc>
          <w:tcPr>
            <w:tcW w:w="5987" w:type="dxa"/>
            <w:gridSpan w:val="6"/>
          </w:tcPr>
          <w:p w:rsidR="00634FE7" w:rsidRPr="000D2082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bookmarkStart w:id="0" w:name="_GoBack"/>
            <w:r w:rsidRPr="000D2082">
              <w:rPr>
                <w:bCs/>
                <w:sz w:val="24"/>
                <w:szCs w:val="24"/>
              </w:rPr>
              <w:t>Relative concentration (%)</w:t>
            </w:r>
            <w:bookmarkEnd w:id="0"/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C23.5.1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Platinum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C23.5.2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Rhodium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C23.5.3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Palladium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C23.6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Substrate (Monolithic metal/ Ceramic/ honeycomb)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C23.6.1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Cell density (cells per sq. inch / cm)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C23.7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Type of casing for </w:t>
            </w:r>
            <w:r w:rsidR="00C70E16" w:rsidRPr="00C70E16">
              <w:rPr>
                <w:sz w:val="24"/>
                <w:szCs w:val="24"/>
              </w:rPr>
              <w:t>catalyzer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C23.8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Diagram indicating the arrangement and  position of catalytic converter w.r.t. exhaust manifold)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C23.9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Lambda Sensor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C23.9.1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Make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C23.9.2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 / Part No.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C23.9.3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Identification No / Part No./ Drawing No.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C23.9.4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Location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23.10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Regeneration systems/method of exhaust after-treatment systems, description: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23.10.1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The number of Type I operating cycles, or equivalent engine test bench cycles, between two cycles where regenerative phases occur under the conditions equivalent </w:t>
            </w:r>
            <w:r w:rsidRPr="00C70E16">
              <w:rPr>
                <w:sz w:val="24"/>
                <w:szCs w:val="24"/>
              </w:rPr>
              <w:lastRenderedPageBreak/>
              <w:t>to Type I test (Distance "D" in figure 1 in Chapter 15 of TAP Document) :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lastRenderedPageBreak/>
              <w:t>C 23.10.2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Description of method employed to determine the number of cycles between two cycles where regenerative phases  occur: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C23.10.3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Parameters to determine the level of loading required before regeneration occurs (i.e. temperature, pressure etc.):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C23.10.4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Description of method used to load system in the test procedure described in paragraph 3.1., ( Refer Chapter 15 of TAP Document) :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23.11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Oxygen sensor: type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23.11.1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Location of oxygen sensor: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C23.11.2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Control range of oxygen sensor: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23.11.3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Regeneration system/method -  Description and drawing: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C23.12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Electronic Control Unit (ECU)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 xml:space="preserve">C23.12.1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Make 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C23.12.2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Identification mark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C23.12.3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Calibration Identification No.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 xml:space="preserve">C23.12.4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Adjustment possibilities ( Yes / No 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 xml:space="preserve">C23.13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Secondary Air Injection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C23.13.1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Make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C23.13.2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Identification mark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 xml:space="preserve">C23.14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Exhaust Gas Re-circulating System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C23.14.1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Brief description of the system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C23.14.2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 ( Cooled / Non-cooled/Progressive/ On-Off/ Any Other 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C23.14.3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EGR Valve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C23.14.3.1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Make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C23.14.3.2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C23.14.3.3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Identification No / Part No./ Drawing No.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C23.14.4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EGR Electronic Control Unit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C23.14.4.1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Make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lastRenderedPageBreak/>
              <w:t>C23.14.4.2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Identification No / Part No./ Drawing No.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C24.0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Additional information for evaporative emission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C24.1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Evaporative emission control system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C24.2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C24.3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Make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C24.4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Complete detailed description of devices and  their state of tune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C24.5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Drawing of the evaporative control system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C24.6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Drawing of the fuel tank with indication of  capacity and material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C24.7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Canister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C24.7.1 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Working capacity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C24.7.2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Make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C24.7.3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Identification No / Part No./ Drawing No.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C24.7.4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Schematic diagram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C24.7.5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Canister bed volume (1)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>C 25.0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z w:val="24"/>
                <w:szCs w:val="24"/>
              </w:rPr>
            </w:pPr>
            <w:r w:rsidRPr="00C70E16">
              <w:rPr>
                <w:b/>
                <w:bCs/>
                <w:sz w:val="24"/>
                <w:szCs w:val="24"/>
              </w:rPr>
              <w:t xml:space="preserve">On Board Diagnosis (OBD ) 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25.1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Written description and/or drawing of the Malfunction  Indicator(MI).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25.2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List and purpose of all components monitored by the OBD system.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25.3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Written description (general working principles) for ;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25.3.1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Positive-ignition engines.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center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25.3.1.1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Catalyst monitoring</w:t>
            </w:r>
            <w:r w:rsidRPr="00C70E16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25.3.1.1.1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Misfire detection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25.3.1.1.2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Oxygen sensor monitoring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25.3.1.1.3</w:t>
            </w:r>
          </w:p>
        </w:tc>
        <w:tc>
          <w:tcPr>
            <w:tcW w:w="5987" w:type="dxa"/>
            <w:gridSpan w:val="6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Other components monitored by the OBD system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shd w:val="clear" w:color="auto" w:fill="auto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25.3.1.2</w:t>
            </w:r>
          </w:p>
        </w:tc>
        <w:tc>
          <w:tcPr>
            <w:tcW w:w="5987" w:type="dxa"/>
            <w:gridSpan w:val="6"/>
            <w:shd w:val="clear" w:color="auto" w:fill="auto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OBD family declaration  following list of basic parameters which are  common,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shd w:val="clear" w:color="auto" w:fill="auto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lastRenderedPageBreak/>
              <w:t>C 25.3.1.2.1</w:t>
            </w:r>
          </w:p>
        </w:tc>
        <w:tc>
          <w:tcPr>
            <w:tcW w:w="5987" w:type="dxa"/>
            <w:gridSpan w:val="6"/>
            <w:shd w:val="clear" w:color="auto" w:fill="auto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The methods of OBD monitoring.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shd w:val="clear" w:color="auto" w:fill="auto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25.3.1.2.2</w:t>
            </w:r>
          </w:p>
        </w:tc>
        <w:tc>
          <w:tcPr>
            <w:tcW w:w="5987" w:type="dxa"/>
            <w:gridSpan w:val="6"/>
            <w:shd w:val="clear" w:color="auto" w:fill="auto"/>
            <w:vAlign w:val="bottom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The methods of malfunction detection.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C70E16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 </w:t>
            </w:r>
            <w:r w:rsidR="00634FE7" w:rsidRPr="00C70E16">
              <w:rPr>
                <w:bCs/>
                <w:sz w:val="24"/>
                <w:szCs w:val="24"/>
              </w:rPr>
              <w:t>25.3.2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Compression-ignition engines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bCs/>
                <w:strike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25.3.2.1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trike/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Catalyst Monitoring  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25.3.2.1.1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Particulate trap monitoring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25.3.2.1.2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Electronic fueling system monitoring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25.3.2.1.3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proofErr w:type="spellStart"/>
            <w:r w:rsidRPr="00C70E16">
              <w:rPr>
                <w:sz w:val="24"/>
                <w:szCs w:val="24"/>
              </w:rPr>
              <w:t>deNox</w:t>
            </w:r>
            <w:proofErr w:type="spellEnd"/>
            <w:r w:rsidRPr="00C70E16">
              <w:rPr>
                <w:sz w:val="24"/>
                <w:szCs w:val="24"/>
              </w:rPr>
              <w:t xml:space="preserve"> system monitoring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25.3.2.1.4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Other components monitored by the OBD system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25.4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Criteria for MI activation (fixed number of driving cycles or statistical method)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25.5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List of all OBD output codes and formats used (with explanation of each).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25.6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The following additional information shall be provided by the vehicle manufacturer for the purposes of enabling the manufacture of OBD-compatible replacement or service parts and diagnostic tools and test equipment, unless such information is covered by intellectual property rights or constitutes specific know-how of the manufacturer or the OEM supplier(s).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25.6.1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A description of the type and number of the pre-conditioning cycles used for the original type approval of the vehicle.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  <w:vAlign w:val="center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25.6.2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A description of the type of the OBD demonstration cycle used for the original type-approval of the vehicle for the component monitored by the OBD system.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rPr>
          <w:trHeight w:val="2926"/>
        </w:trPr>
        <w:tc>
          <w:tcPr>
            <w:tcW w:w="1277" w:type="dxa"/>
            <w:vMerge w:val="restart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lastRenderedPageBreak/>
              <w:t>C 25.6.3</w:t>
            </w:r>
          </w:p>
        </w:tc>
        <w:tc>
          <w:tcPr>
            <w:tcW w:w="8836" w:type="dxa"/>
            <w:gridSpan w:val="9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 xml:space="preserve">A comprehensive document describing all sensed components with the strategy for fault detection and MI activation (fixed number of driving cycles or statistical method), including a list of relevant secondary sensed parameters for each component monitored by the OBD system. A list of all OBD output codes and format used (with an explanation of each) associated with individual emission related power-train components and individual non-emission related components, where monitoring of the component is used to determine MI activation. In particular, a comprehensive explanation for the data given in service $05 Test ID $21 to FF and the data given in service $06 must be provided. In the case of vehicle types that use a communication link in accordance with ISO 15765-4 “Road vehicles, diagnostics on controller area network (CAN) – part 4: requirements for emissions-related systems”, a comprehensive explanation for the data given in service $06 Test ID $00 to FF, for each OBD monitor ID supported, must be provided. </w:t>
            </w:r>
          </w:p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This information may be defined in the form of a table, as follows:</w:t>
            </w:r>
          </w:p>
        </w:tc>
      </w:tr>
      <w:tr w:rsidR="00634FE7" w:rsidRPr="00C70E16" w:rsidTr="00C70E16">
        <w:trPr>
          <w:trHeight w:val="150"/>
        </w:trPr>
        <w:tc>
          <w:tcPr>
            <w:tcW w:w="1277" w:type="dxa"/>
            <w:vMerge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C70E16">
              <w:rPr>
                <w:b/>
                <w:sz w:val="24"/>
                <w:szCs w:val="24"/>
              </w:rPr>
              <w:t>Component</w:t>
            </w:r>
          </w:p>
        </w:tc>
        <w:tc>
          <w:tcPr>
            <w:tcW w:w="830" w:type="dxa"/>
            <w:gridSpan w:val="2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C70E16">
              <w:rPr>
                <w:b/>
                <w:sz w:val="24"/>
                <w:szCs w:val="24"/>
              </w:rPr>
              <w:t>Fault code</w:t>
            </w:r>
          </w:p>
        </w:tc>
        <w:tc>
          <w:tcPr>
            <w:tcW w:w="1390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C70E16">
              <w:rPr>
                <w:b/>
                <w:sz w:val="24"/>
                <w:szCs w:val="24"/>
              </w:rPr>
              <w:t>Monitoring strategy</w:t>
            </w:r>
          </w:p>
        </w:tc>
        <w:tc>
          <w:tcPr>
            <w:tcW w:w="1230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C70E16">
              <w:rPr>
                <w:b/>
                <w:sz w:val="24"/>
                <w:szCs w:val="24"/>
              </w:rPr>
              <w:t>MI activation criteria</w:t>
            </w:r>
          </w:p>
        </w:tc>
        <w:tc>
          <w:tcPr>
            <w:tcW w:w="1389" w:type="dxa"/>
            <w:gridSpan w:val="2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C70E16">
              <w:rPr>
                <w:b/>
                <w:sz w:val="24"/>
                <w:szCs w:val="24"/>
              </w:rPr>
              <w:t>Secondary parameters</w:t>
            </w:r>
          </w:p>
        </w:tc>
        <w:tc>
          <w:tcPr>
            <w:tcW w:w="149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C70E16">
              <w:rPr>
                <w:b/>
                <w:sz w:val="24"/>
                <w:szCs w:val="24"/>
              </w:rPr>
              <w:t>Pre-conditioning</w:t>
            </w:r>
          </w:p>
        </w:tc>
        <w:tc>
          <w:tcPr>
            <w:tcW w:w="1083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C70E16">
              <w:rPr>
                <w:b/>
                <w:sz w:val="24"/>
                <w:szCs w:val="24"/>
              </w:rPr>
              <w:t>Demon-striation test</w:t>
            </w:r>
          </w:p>
          <w:p w:rsidR="00634FE7" w:rsidRPr="00C70E16" w:rsidRDefault="00634FE7" w:rsidP="00C70E16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634FE7" w:rsidRPr="00C70E16" w:rsidTr="00C70E16">
        <w:trPr>
          <w:trHeight w:val="150"/>
        </w:trPr>
        <w:tc>
          <w:tcPr>
            <w:tcW w:w="1277" w:type="dxa"/>
            <w:vMerge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Catalyst</w:t>
            </w:r>
          </w:p>
        </w:tc>
        <w:tc>
          <w:tcPr>
            <w:tcW w:w="830" w:type="dxa"/>
            <w:gridSpan w:val="2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P0420</w:t>
            </w:r>
          </w:p>
        </w:tc>
        <w:tc>
          <w:tcPr>
            <w:tcW w:w="1390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Oxygen sensor                     1 and 2 signals</w:t>
            </w:r>
          </w:p>
        </w:tc>
        <w:tc>
          <w:tcPr>
            <w:tcW w:w="1230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3</w:t>
            </w:r>
            <w:r w:rsidRPr="00C70E16">
              <w:rPr>
                <w:sz w:val="24"/>
                <w:szCs w:val="24"/>
                <w:vertAlign w:val="superscript"/>
              </w:rPr>
              <w:t>rd</w:t>
            </w:r>
            <w:r w:rsidRPr="00C70E16">
              <w:rPr>
                <w:sz w:val="24"/>
                <w:szCs w:val="24"/>
              </w:rPr>
              <w:t xml:space="preserve"> cycle</w:t>
            </w:r>
          </w:p>
        </w:tc>
        <w:tc>
          <w:tcPr>
            <w:tcW w:w="1389" w:type="dxa"/>
            <w:gridSpan w:val="2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Engine speed, engine load, A/F mode, catalyst temperature</w:t>
            </w:r>
          </w:p>
        </w:tc>
        <w:tc>
          <w:tcPr>
            <w:tcW w:w="149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Two type 1 cycles</w:t>
            </w:r>
          </w:p>
        </w:tc>
        <w:tc>
          <w:tcPr>
            <w:tcW w:w="1083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 1’</w:t>
            </w: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25.7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Torque limiter (yes/No)  (for vehicles with GVW above 3500 kg)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C25.7.1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Description of the torque limiter activation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C25.7.2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Description of the full load curve limitation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26.0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Particulate trap ( Yes / No)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26.1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Dimensions and shape of the particulate trap (capacity):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26.2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Type of particulate trap and design: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26.3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Location of the particulate trap (reference distances in the exhaust system):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26.4</w:t>
            </w:r>
          </w:p>
        </w:tc>
        <w:tc>
          <w:tcPr>
            <w:tcW w:w="5987" w:type="dxa"/>
            <w:gridSpan w:val="6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Regeneration system/method -  Description and Drawing:</w:t>
            </w:r>
          </w:p>
        </w:tc>
        <w:tc>
          <w:tcPr>
            <w:tcW w:w="2849" w:type="dxa"/>
            <w:gridSpan w:val="3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</w:tbl>
    <w:p w:rsidR="00C70E16" w:rsidRDefault="00C70E16"/>
    <w:p w:rsidR="00C70E16" w:rsidRDefault="00C70E16"/>
    <w:p w:rsidR="00C70E16" w:rsidRDefault="00C70E16"/>
    <w:tbl>
      <w:tblPr>
        <w:tblStyle w:val="TableGrid"/>
        <w:tblW w:w="10113" w:type="dxa"/>
        <w:tblInd w:w="-1139" w:type="dxa"/>
        <w:tblLook w:val="04A0" w:firstRow="1" w:lastRow="0" w:firstColumn="1" w:lastColumn="0" w:noHBand="0" w:noVBand="1"/>
      </w:tblPr>
      <w:tblGrid>
        <w:gridCol w:w="1277"/>
        <w:gridCol w:w="5987"/>
        <w:gridCol w:w="2849"/>
      </w:tblGrid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lastRenderedPageBreak/>
              <w:t>C 26.4.1</w:t>
            </w:r>
          </w:p>
        </w:tc>
        <w:tc>
          <w:tcPr>
            <w:tcW w:w="598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The number of Type I operating cycles, or equivalent engine test bench cycle, between two cycles where regeneration phases occur under the conditions equivalent to Type I test (Distance 'D' in figure 1 in Chapter 15 of TAP Document) :</w:t>
            </w:r>
          </w:p>
        </w:tc>
        <w:tc>
          <w:tcPr>
            <w:tcW w:w="2849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26.4.2</w:t>
            </w:r>
          </w:p>
        </w:tc>
        <w:tc>
          <w:tcPr>
            <w:tcW w:w="598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Description of method employed to determine the number of cycles between two cycles where regenerative phases occur:</w:t>
            </w:r>
          </w:p>
        </w:tc>
        <w:tc>
          <w:tcPr>
            <w:tcW w:w="2849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26.4.3</w:t>
            </w:r>
          </w:p>
        </w:tc>
        <w:tc>
          <w:tcPr>
            <w:tcW w:w="598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Parameters to determine the level of loading required before regeneration occurs (i.e. temperature, pressure, etc.):</w:t>
            </w:r>
          </w:p>
        </w:tc>
        <w:tc>
          <w:tcPr>
            <w:tcW w:w="2849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26.4.4</w:t>
            </w:r>
          </w:p>
        </w:tc>
        <w:tc>
          <w:tcPr>
            <w:tcW w:w="598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  <w:r w:rsidRPr="00C70E16">
              <w:rPr>
                <w:sz w:val="24"/>
                <w:szCs w:val="24"/>
              </w:rPr>
              <w:t>Description of method used to load system in the test  procedure described in paragraph 3.1., Chapter 15 of TAP Document :</w:t>
            </w:r>
          </w:p>
        </w:tc>
        <w:tc>
          <w:tcPr>
            <w:tcW w:w="2849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634FE7" w:rsidRPr="00C70E16" w:rsidTr="00C70E16">
        <w:tc>
          <w:tcPr>
            <w:tcW w:w="127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>C 26.4.5</w:t>
            </w:r>
          </w:p>
        </w:tc>
        <w:tc>
          <w:tcPr>
            <w:tcW w:w="5987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 w:rsidRPr="00C70E16">
              <w:rPr>
                <w:bCs/>
                <w:sz w:val="24"/>
                <w:szCs w:val="24"/>
              </w:rPr>
              <w:t xml:space="preserve">Any other declaration from manufacturer </w:t>
            </w:r>
          </w:p>
        </w:tc>
        <w:tc>
          <w:tcPr>
            <w:tcW w:w="2849" w:type="dxa"/>
          </w:tcPr>
          <w:p w:rsidR="00634FE7" w:rsidRPr="00C70E16" w:rsidRDefault="00634FE7" w:rsidP="00C70E16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</w:tbl>
    <w:p w:rsidR="00EF4303" w:rsidRPr="00031406" w:rsidRDefault="00EF4303" w:rsidP="000731F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EF4303" w:rsidRPr="00031406" w:rsidRDefault="00EF4303" w:rsidP="000731F8">
      <w:pPr>
        <w:pStyle w:val="NoSpacing"/>
        <w:rPr>
          <w:rFonts w:asciiTheme="minorHAnsi" w:hAnsiTheme="minorHAnsi" w:cstheme="minorHAnsi"/>
          <w:sz w:val="22"/>
          <w:szCs w:val="22"/>
        </w:rPr>
      </w:pPr>
    </w:p>
    <w:sectPr w:rsidR="00EF4303" w:rsidRPr="00031406" w:rsidSect="00C70E16">
      <w:headerReference w:type="default" r:id="rId8"/>
      <w:footerReference w:type="default" r:id="rId9"/>
      <w:pgSz w:w="11906" w:h="16838" w:code="9"/>
      <w:pgMar w:top="720" w:right="1728" w:bottom="720" w:left="21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CFC" w:rsidRDefault="00BA5CFC" w:rsidP="006F4F9F">
      <w:r>
        <w:separator/>
      </w:r>
    </w:p>
  </w:endnote>
  <w:endnote w:type="continuationSeparator" w:id="0">
    <w:p w:rsidR="00BA5CFC" w:rsidRDefault="00BA5CFC" w:rsidP="006F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16" w:rsidRDefault="00C70E16"/>
  <w:tbl>
    <w:tblPr>
      <w:tblW w:w="9864" w:type="dxa"/>
      <w:tblInd w:w="-1139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ayout w:type="fixed"/>
      <w:tblLook w:val="0000" w:firstRow="0" w:lastRow="0" w:firstColumn="0" w:lastColumn="0" w:noHBand="0" w:noVBand="0"/>
    </w:tblPr>
    <w:tblGrid>
      <w:gridCol w:w="3294"/>
      <w:gridCol w:w="3870"/>
      <w:gridCol w:w="2700"/>
    </w:tblGrid>
    <w:tr w:rsidR="00BA5CFC" w:rsidRPr="00365E0B" w:rsidTr="00C70E16">
      <w:trPr>
        <w:cantSplit/>
        <w:trHeight w:val="181"/>
      </w:trPr>
      <w:tc>
        <w:tcPr>
          <w:tcW w:w="3294" w:type="dxa"/>
        </w:tcPr>
        <w:p w:rsidR="00BA5CFC" w:rsidRPr="00365E0B" w:rsidRDefault="00BA5CFC" w:rsidP="00FA6FAD">
          <w:pPr>
            <w:pStyle w:val="Heading4"/>
            <w:ind w:right="-965"/>
            <w:rPr>
              <w:rFonts w:asciiTheme="minorHAnsi" w:hAnsiTheme="minorHAnsi" w:cstheme="minorHAnsi"/>
              <w:bCs/>
              <w:snapToGrid/>
              <w:color w:val="FF0000"/>
              <w:sz w:val="22"/>
              <w:szCs w:val="22"/>
              <w:lang w:val="en-US" w:eastAsia="en-US"/>
            </w:rPr>
          </w:pPr>
          <w:r w:rsidRPr="00FA6FAD">
            <w:rPr>
              <w:rFonts w:asciiTheme="minorHAnsi" w:hAnsiTheme="minorHAnsi" w:cstheme="minorHAnsi"/>
              <w:bCs/>
              <w:snapToGrid/>
              <w:color w:val="FF0000"/>
              <w:sz w:val="22"/>
              <w:szCs w:val="22"/>
              <w:lang w:val="en-US" w:eastAsia="en-US"/>
            </w:rPr>
            <w:t xml:space="preserve">Manufacturer                                      </w:t>
          </w:r>
        </w:p>
      </w:tc>
      <w:tc>
        <w:tcPr>
          <w:tcW w:w="3870" w:type="dxa"/>
        </w:tcPr>
        <w:p w:rsidR="00BA5CFC" w:rsidRPr="00365E0B" w:rsidRDefault="00BA5CFC" w:rsidP="00365E0B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Sheet No :</w:t>
          </w:r>
          <w:r>
            <w:rPr>
              <w:rFonts w:cstheme="minorHAnsi"/>
              <w:b/>
              <w:bCs/>
              <w:color w:val="FF0000"/>
            </w:rPr>
            <w:t xml:space="preserve"> </w:t>
          </w:r>
        </w:p>
      </w:tc>
      <w:tc>
        <w:tcPr>
          <w:tcW w:w="2700" w:type="dxa"/>
        </w:tcPr>
        <w:p w:rsidR="00BA5CFC" w:rsidRPr="00365E0B" w:rsidRDefault="00BA5CFC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Test Agency :</w:t>
          </w:r>
        </w:p>
      </w:tc>
    </w:tr>
    <w:tr w:rsidR="00BA5CFC" w:rsidRPr="00365E0B" w:rsidTr="00C70E16">
      <w:trPr>
        <w:cantSplit/>
        <w:trHeight w:val="1414"/>
      </w:trPr>
      <w:tc>
        <w:tcPr>
          <w:tcW w:w="3294" w:type="dxa"/>
          <w:tcBorders>
            <w:bottom w:val="single" w:sz="4" w:space="0" w:color="FF0000"/>
          </w:tcBorders>
        </w:tcPr>
        <w:p w:rsidR="00BA5CFC" w:rsidRPr="00365E0B" w:rsidRDefault="00BA5CFC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  <w:tc>
        <w:tcPr>
          <w:tcW w:w="3870" w:type="dxa"/>
        </w:tcPr>
        <w:p w:rsidR="00BA5CFC" w:rsidRPr="00365E0B" w:rsidRDefault="00BA5CFC" w:rsidP="00365E0B">
          <w:pPr>
            <w:ind w:right="-965"/>
            <w:rPr>
              <w:rFonts w:cstheme="minorHAnsi"/>
              <w:b/>
              <w:bCs/>
              <w:color w:val="FF0000"/>
            </w:rPr>
          </w:pPr>
          <w:r>
            <w:rPr>
              <w:rFonts w:cstheme="minorHAnsi"/>
              <w:b/>
              <w:bCs/>
              <w:color w:val="FF0000"/>
            </w:rPr>
            <w:t>Document No</w:t>
          </w:r>
          <w:r w:rsidRPr="00365E0B">
            <w:rPr>
              <w:rFonts w:cstheme="minorHAnsi"/>
              <w:b/>
              <w:bCs/>
              <w:color w:val="FF0000"/>
            </w:rPr>
            <w:t>:</w:t>
          </w:r>
        </w:p>
        <w:p w:rsidR="00BA5CFC" w:rsidRPr="00365E0B" w:rsidRDefault="00BA5CFC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  <w:tc>
        <w:tcPr>
          <w:tcW w:w="2700" w:type="dxa"/>
          <w:tcBorders>
            <w:bottom w:val="single" w:sz="4" w:space="0" w:color="FF0000"/>
          </w:tcBorders>
        </w:tcPr>
        <w:p w:rsidR="00BA5CFC" w:rsidRPr="00365E0B" w:rsidRDefault="00BA5CFC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</w:tr>
    <w:tr w:rsidR="00BA5CFC" w:rsidRPr="00365E0B" w:rsidTr="00C70E16">
      <w:trPr>
        <w:cantSplit/>
        <w:trHeight w:val="215"/>
      </w:trPr>
      <w:tc>
        <w:tcPr>
          <w:tcW w:w="3294" w:type="dxa"/>
        </w:tcPr>
        <w:p w:rsidR="00BA5CFC" w:rsidRPr="00365E0B" w:rsidRDefault="00BA5CFC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>
            <w:rPr>
              <w:rFonts w:cstheme="minorHAnsi"/>
              <w:b/>
              <w:bCs/>
              <w:color w:val="FF0000"/>
            </w:rPr>
            <w:t>Name</w:t>
          </w:r>
          <w:r w:rsidRPr="00365E0B">
            <w:rPr>
              <w:rFonts w:cstheme="minorHAnsi"/>
              <w:b/>
              <w:bCs/>
              <w:color w:val="FF0000"/>
            </w:rPr>
            <w:t>:</w:t>
          </w:r>
        </w:p>
        <w:p w:rsidR="00BA5CFC" w:rsidRPr="00365E0B" w:rsidRDefault="00BA5CFC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Designation :</w:t>
          </w:r>
        </w:p>
      </w:tc>
      <w:tc>
        <w:tcPr>
          <w:tcW w:w="3870" w:type="dxa"/>
        </w:tcPr>
        <w:p w:rsidR="00BA5CFC" w:rsidRPr="00365E0B" w:rsidRDefault="00BA5CFC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Date :</w:t>
          </w:r>
        </w:p>
      </w:tc>
      <w:tc>
        <w:tcPr>
          <w:tcW w:w="2700" w:type="dxa"/>
        </w:tcPr>
        <w:p w:rsidR="00BA5CFC" w:rsidRPr="00365E0B" w:rsidRDefault="00BA5CFC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>
            <w:rPr>
              <w:rFonts w:cstheme="minorHAnsi"/>
              <w:b/>
              <w:bCs/>
              <w:color w:val="FF0000"/>
            </w:rPr>
            <w:t>Name</w:t>
          </w:r>
          <w:r w:rsidRPr="00365E0B">
            <w:rPr>
              <w:rFonts w:cstheme="minorHAnsi"/>
              <w:b/>
              <w:bCs/>
              <w:color w:val="FF0000"/>
            </w:rPr>
            <w:t>:</w:t>
          </w:r>
        </w:p>
        <w:p w:rsidR="00BA5CFC" w:rsidRPr="00365E0B" w:rsidRDefault="00BA5CFC" w:rsidP="00FA6FAD">
          <w:pPr>
            <w:pStyle w:val="Heading3"/>
            <w:ind w:right="-965"/>
            <w:rPr>
              <w:rFonts w:asciiTheme="minorHAnsi" w:hAnsiTheme="minorHAnsi" w:cstheme="minorHAnsi"/>
              <w:bCs/>
              <w:i w:val="0"/>
              <w:snapToGrid/>
              <w:sz w:val="22"/>
              <w:szCs w:val="22"/>
              <w:lang w:val="en-US" w:eastAsia="en-US"/>
            </w:rPr>
          </w:pPr>
          <w:r w:rsidRPr="00365E0B">
            <w:rPr>
              <w:rFonts w:asciiTheme="minorHAnsi" w:hAnsiTheme="minorHAnsi" w:cstheme="minorHAnsi"/>
              <w:bCs/>
              <w:i w:val="0"/>
              <w:snapToGrid/>
              <w:sz w:val="22"/>
              <w:szCs w:val="22"/>
              <w:lang w:val="en-US" w:eastAsia="en-US"/>
            </w:rPr>
            <w:t>Designation :</w:t>
          </w:r>
        </w:p>
      </w:tc>
    </w:tr>
  </w:tbl>
  <w:p w:rsidR="00BA5CFC" w:rsidRPr="00365E0B" w:rsidRDefault="00BA5CFC" w:rsidP="00365E0B">
    <w:pPr>
      <w:pStyle w:val="Footer"/>
      <w:jc w:val="right"/>
      <w:rPr>
        <w:rFonts w:eastAsia="Times New Roman" w:cstheme="minorHAnsi"/>
        <w:b/>
        <w:bCs/>
        <w:color w:val="FF0000"/>
        <w:lang w:val="en-US"/>
      </w:rPr>
    </w:pPr>
    <w:r w:rsidRPr="00365E0B">
      <w:rPr>
        <w:rFonts w:eastAsia="Times New Roman" w:cstheme="minorHAnsi"/>
        <w:b/>
        <w:bCs/>
        <w:color w:val="7F7F7F" w:themeColor="background1" w:themeShade="7F"/>
        <w:spacing w:val="60"/>
        <w:lang w:val="en-US"/>
      </w:rPr>
      <w:t>Page</w:t>
    </w:r>
    <w:r w:rsidRPr="00365E0B">
      <w:rPr>
        <w:rFonts w:eastAsia="Times New Roman" w:cstheme="minorHAnsi"/>
        <w:b/>
        <w:bCs/>
        <w:color w:val="FF0000"/>
        <w:lang w:val="en-US"/>
      </w:rPr>
      <w:t xml:space="preserve"> | </w:t>
    </w:r>
    <w:r w:rsidRPr="00365E0B">
      <w:rPr>
        <w:rFonts w:eastAsia="Times New Roman" w:cstheme="minorHAnsi"/>
        <w:b/>
        <w:bCs/>
        <w:color w:val="FF0000"/>
        <w:lang w:val="en-US"/>
      </w:rPr>
      <w:fldChar w:fldCharType="begin"/>
    </w:r>
    <w:r w:rsidRPr="00365E0B">
      <w:rPr>
        <w:rFonts w:eastAsia="Times New Roman" w:cstheme="minorHAnsi"/>
        <w:b/>
        <w:bCs/>
        <w:color w:val="FF0000"/>
        <w:lang w:val="en-US"/>
      </w:rPr>
      <w:instrText xml:space="preserve"> PAGE   \* MERGEFORMAT </w:instrText>
    </w:r>
    <w:r w:rsidRPr="00365E0B">
      <w:rPr>
        <w:rFonts w:eastAsia="Times New Roman" w:cstheme="minorHAnsi"/>
        <w:b/>
        <w:bCs/>
        <w:color w:val="FF0000"/>
        <w:lang w:val="en-US"/>
      </w:rPr>
      <w:fldChar w:fldCharType="separate"/>
    </w:r>
    <w:r w:rsidR="000D2082">
      <w:rPr>
        <w:rFonts w:eastAsia="Times New Roman" w:cstheme="minorHAnsi"/>
        <w:b/>
        <w:bCs/>
        <w:noProof/>
        <w:color w:val="FF0000"/>
        <w:lang w:val="en-US"/>
      </w:rPr>
      <w:t>16</w:t>
    </w:r>
    <w:r w:rsidRPr="00365E0B">
      <w:rPr>
        <w:rFonts w:eastAsia="Times New Roman" w:cstheme="minorHAnsi"/>
        <w:b/>
        <w:bCs/>
        <w:noProof/>
        <w:color w:val="FF000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CFC" w:rsidRDefault="00BA5CFC" w:rsidP="006F4F9F">
      <w:r>
        <w:separator/>
      </w:r>
    </w:p>
  </w:footnote>
  <w:footnote w:type="continuationSeparator" w:id="0">
    <w:p w:rsidR="00BA5CFC" w:rsidRDefault="00BA5CFC" w:rsidP="006F4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FC" w:rsidRPr="00BA5CFC" w:rsidRDefault="00BA5CFC" w:rsidP="00A170CD">
    <w:pPr>
      <w:pStyle w:val="Header"/>
      <w:jc w:val="center"/>
      <w:rPr>
        <w:rFonts w:ascii="Times New Roman" w:hAnsi="Times New Roman" w:cs="Times New Roman"/>
        <w:b/>
        <w:bCs/>
        <w:color w:val="000000"/>
        <w:sz w:val="36"/>
      </w:rPr>
    </w:pPr>
    <w:r w:rsidRPr="00BA5CFC">
      <w:rPr>
        <w:rFonts w:ascii="Times New Roman" w:hAnsi="Times New Roman" w:cs="Times New Roman"/>
        <w:b/>
        <w:bCs/>
        <w:color w:val="000000"/>
        <w:sz w:val="36"/>
      </w:rPr>
      <w:t>Table 4 of AIS-007 (Revision 5)</w:t>
    </w:r>
  </w:p>
  <w:p w:rsidR="00BA5CFC" w:rsidRPr="006F4F9F" w:rsidRDefault="00BA5CFC" w:rsidP="006F4F9F">
    <w:pPr>
      <w:pStyle w:val="Header"/>
      <w:jc w:val="right"/>
      <w:rPr>
        <w:sz w:val="1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4133"/>
    <w:multiLevelType w:val="hybridMultilevel"/>
    <w:tmpl w:val="FC92F8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225E9"/>
    <w:multiLevelType w:val="hybridMultilevel"/>
    <w:tmpl w:val="076625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9F"/>
    <w:rsid w:val="00001FC6"/>
    <w:rsid w:val="00031406"/>
    <w:rsid w:val="000731F8"/>
    <w:rsid w:val="000B7E06"/>
    <w:rsid w:val="000D2082"/>
    <w:rsid w:val="001719DB"/>
    <w:rsid w:val="00171F3D"/>
    <w:rsid w:val="001C79CB"/>
    <w:rsid w:val="002438D9"/>
    <w:rsid w:val="00365E0B"/>
    <w:rsid w:val="003D7788"/>
    <w:rsid w:val="00453CD7"/>
    <w:rsid w:val="005211A0"/>
    <w:rsid w:val="00531ABD"/>
    <w:rsid w:val="00634FE7"/>
    <w:rsid w:val="00660375"/>
    <w:rsid w:val="006F4F9F"/>
    <w:rsid w:val="0071153C"/>
    <w:rsid w:val="00822393"/>
    <w:rsid w:val="00886E16"/>
    <w:rsid w:val="008A09C1"/>
    <w:rsid w:val="008C52D8"/>
    <w:rsid w:val="009619F2"/>
    <w:rsid w:val="00A170CD"/>
    <w:rsid w:val="00A205B5"/>
    <w:rsid w:val="00A677D5"/>
    <w:rsid w:val="00A705D8"/>
    <w:rsid w:val="00BA5CFC"/>
    <w:rsid w:val="00C2124C"/>
    <w:rsid w:val="00C378C0"/>
    <w:rsid w:val="00C70E16"/>
    <w:rsid w:val="00C77DAD"/>
    <w:rsid w:val="00D8388B"/>
    <w:rsid w:val="00E323DE"/>
    <w:rsid w:val="00E57ED7"/>
    <w:rsid w:val="00E85CAF"/>
    <w:rsid w:val="00E91735"/>
    <w:rsid w:val="00EF4303"/>
    <w:rsid w:val="00F033DF"/>
    <w:rsid w:val="00F5048A"/>
    <w:rsid w:val="00F81114"/>
    <w:rsid w:val="00FA6FAD"/>
    <w:rsid w:val="00F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DD671FB-6644-492F-995A-2C55D208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A6FAD"/>
    <w:pPr>
      <w:keepNext/>
      <w:outlineLvl w:val="1"/>
    </w:pPr>
    <w:rPr>
      <w:rFonts w:ascii="Arial" w:hAnsi="Arial"/>
      <w:i/>
      <w:snapToGrid w:val="0"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FA6FAD"/>
    <w:pPr>
      <w:keepNext/>
      <w:outlineLvl w:val="2"/>
    </w:pPr>
    <w:rPr>
      <w:rFonts w:ascii="Arial" w:hAnsi="Arial"/>
      <w:b/>
      <w:i/>
      <w:snapToGrid w:val="0"/>
      <w:color w:val="FF0000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A6FAD"/>
    <w:pPr>
      <w:keepNext/>
      <w:outlineLvl w:val="3"/>
    </w:pPr>
    <w:rPr>
      <w:b/>
      <w:snapToGrid w:val="0"/>
      <w:color w:val="000000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, Char"/>
    <w:basedOn w:val="Normal"/>
    <w:link w:val="Head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aliases w:val="Char Char, Char Char"/>
    <w:basedOn w:val="DefaultParagraphFont"/>
    <w:link w:val="Header"/>
    <w:uiPriority w:val="99"/>
    <w:rsid w:val="006F4F9F"/>
  </w:style>
  <w:style w:type="paragraph" w:styleId="Footer">
    <w:name w:val="footer"/>
    <w:basedOn w:val="Normal"/>
    <w:link w:val="Foot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6F4F9F"/>
  </w:style>
  <w:style w:type="paragraph" w:customStyle="1" w:styleId="Style">
    <w:name w:val="Style"/>
    <w:rsid w:val="006F4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FA6FAD"/>
    <w:pPr>
      <w:jc w:val="center"/>
    </w:pPr>
    <w:rPr>
      <w:rFonts w:ascii="Arial" w:hAnsi="Arial"/>
      <w:b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A6FA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A6FAD"/>
    <w:rPr>
      <w:rFonts w:ascii="Arial" w:eastAsia="Times New Roman" w:hAnsi="Arial" w:cs="Times New Roman"/>
      <w:i/>
      <w:snapToGrid w:val="0"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A6FAD"/>
    <w:rPr>
      <w:rFonts w:ascii="Arial" w:eastAsia="Times New Roman" w:hAnsi="Arial" w:cs="Times New Roman"/>
      <w:b/>
      <w:i/>
      <w:snapToGrid w:val="0"/>
      <w:color w:val="FF0000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A6FAD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171F3D"/>
    <w:pPr>
      <w:ind w:left="720"/>
      <w:contextualSpacing/>
    </w:pPr>
  </w:style>
  <w:style w:type="paragraph" w:styleId="NoSpacing">
    <w:name w:val="No Spacing"/>
    <w:uiPriority w:val="1"/>
    <w:qFormat/>
    <w:rsid w:val="0007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S. Athale</dc:creator>
  <cp:keywords/>
  <dc:description/>
  <cp:lastModifiedBy>Pratik R. Nayak</cp:lastModifiedBy>
  <cp:revision>10</cp:revision>
  <dcterms:created xsi:type="dcterms:W3CDTF">2019-01-25T09:32:00Z</dcterms:created>
  <dcterms:modified xsi:type="dcterms:W3CDTF">2021-04-05T03:00:00Z</dcterms:modified>
</cp:coreProperties>
</file>